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96C" w:rsidRDefault="00BB596C" w:rsidP="00BB596C">
      <w:pPr>
        <w:spacing w:before="45"/>
        <w:ind w:left="20"/>
        <w:jc w:val="center"/>
        <w:rPr>
          <w:b/>
          <w:w w:val="95"/>
          <w:sz w:val="34"/>
        </w:rPr>
      </w:pPr>
      <w:r>
        <w:rPr>
          <w:noProof/>
          <w:lang w:eastAsia="it-IT"/>
        </w:rPr>
        <w:drawing>
          <wp:anchor distT="0" distB="0" distL="0" distR="0" simplePos="0" relativeHeight="251659264" behindDoc="1" locked="0" layoutInCell="1" allowOverlap="1" wp14:anchorId="23D31D48" wp14:editId="7517129E">
            <wp:simplePos x="0" y="0"/>
            <wp:positionH relativeFrom="page">
              <wp:posOffset>3529965</wp:posOffset>
            </wp:positionH>
            <wp:positionV relativeFrom="page">
              <wp:posOffset>442595</wp:posOffset>
            </wp:positionV>
            <wp:extent cx="447675" cy="5048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sz w:val="34"/>
        </w:rPr>
        <w:t>TRIBUNALE</w:t>
      </w:r>
      <w:r>
        <w:rPr>
          <w:b/>
          <w:spacing w:val="30"/>
          <w:w w:val="95"/>
          <w:sz w:val="34"/>
        </w:rPr>
        <w:t xml:space="preserve"> </w:t>
      </w:r>
      <w:r>
        <w:rPr>
          <w:b/>
          <w:w w:val="95"/>
          <w:sz w:val="34"/>
        </w:rPr>
        <w:t>DI</w:t>
      </w:r>
      <w:r>
        <w:rPr>
          <w:b/>
          <w:spacing w:val="30"/>
          <w:w w:val="95"/>
          <w:sz w:val="34"/>
        </w:rPr>
        <w:t xml:space="preserve"> </w:t>
      </w:r>
      <w:r>
        <w:rPr>
          <w:b/>
          <w:w w:val="95"/>
          <w:sz w:val="34"/>
        </w:rPr>
        <w:t>REGGIO</w:t>
      </w:r>
      <w:r>
        <w:rPr>
          <w:b/>
          <w:spacing w:val="30"/>
          <w:w w:val="95"/>
          <w:sz w:val="34"/>
        </w:rPr>
        <w:t xml:space="preserve"> </w:t>
      </w:r>
      <w:r>
        <w:rPr>
          <w:b/>
          <w:w w:val="95"/>
          <w:sz w:val="34"/>
        </w:rPr>
        <w:t>CALABRIA</w:t>
      </w:r>
    </w:p>
    <w:p w:rsidR="00BB596C" w:rsidRDefault="00BB596C" w:rsidP="00BB596C">
      <w:pPr>
        <w:spacing w:before="45"/>
        <w:ind w:left="20"/>
        <w:jc w:val="center"/>
        <w:rPr>
          <w:b/>
          <w:w w:val="95"/>
          <w:sz w:val="34"/>
        </w:rPr>
      </w:pPr>
      <w:r>
        <w:rPr>
          <w:b/>
          <w:w w:val="95"/>
          <w:sz w:val="34"/>
        </w:rPr>
        <w:t>SEZIONE LAVORO</w:t>
      </w:r>
    </w:p>
    <w:p w:rsidR="00BB596C" w:rsidRDefault="00BB596C" w:rsidP="00BB596C">
      <w:pPr>
        <w:spacing w:before="45"/>
        <w:ind w:left="20"/>
        <w:jc w:val="center"/>
        <w:rPr>
          <w:b/>
          <w:w w:val="95"/>
          <w:sz w:val="34"/>
        </w:rPr>
      </w:pPr>
      <w:r>
        <w:rPr>
          <w:b/>
          <w:w w:val="95"/>
          <w:sz w:val="34"/>
        </w:rPr>
        <w:t>Contributo unificato dovuto per iscrizione a ruolo</w:t>
      </w:r>
    </w:p>
    <w:p w:rsidR="00BB596C" w:rsidRPr="00071580" w:rsidRDefault="00BB596C" w:rsidP="00BB596C">
      <w:pPr>
        <w:spacing w:before="45"/>
        <w:ind w:left="20"/>
        <w:jc w:val="center"/>
        <w:rPr>
          <w:b/>
          <w:w w:val="95"/>
          <w:sz w:val="16"/>
          <w:szCs w:val="16"/>
        </w:rPr>
      </w:pPr>
    </w:p>
    <w:p w:rsidR="00BB596C" w:rsidRDefault="00BB596C" w:rsidP="00BB596C">
      <w:pPr>
        <w:spacing w:before="45"/>
        <w:ind w:left="20"/>
        <w:jc w:val="both"/>
        <w:rPr>
          <w:b/>
          <w:w w:val="95"/>
          <w:sz w:val="34"/>
        </w:rPr>
      </w:pPr>
      <w:r>
        <w:rPr>
          <w:b/>
          <w:w w:val="95"/>
          <w:sz w:val="34"/>
        </w:rPr>
        <w:t>NON SONO DOVUTI I DIRITTI FORFE</w:t>
      </w:r>
      <w:r w:rsidR="00A75A63">
        <w:rPr>
          <w:b/>
          <w:w w:val="95"/>
          <w:sz w:val="34"/>
        </w:rPr>
        <w:t>T</w:t>
      </w:r>
      <w:r>
        <w:rPr>
          <w:b/>
          <w:w w:val="95"/>
          <w:sz w:val="34"/>
        </w:rPr>
        <w:t xml:space="preserve">TARI DI EURO 27,00 AI SENSI DELL’ART. 30 TU SPESE GIUSTIZIA </w:t>
      </w:r>
      <w:r w:rsidR="00A75A63">
        <w:rPr>
          <w:b/>
          <w:w w:val="95"/>
          <w:sz w:val="34"/>
        </w:rPr>
        <w:t>S</w:t>
      </w:r>
      <w:bookmarkStart w:id="0" w:name="_GoBack"/>
      <w:bookmarkEnd w:id="0"/>
      <w:r>
        <w:rPr>
          <w:b/>
          <w:w w:val="95"/>
          <w:sz w:val="34"/>
        </w:rPr>
        <w:t>UCC. MOD.</w:t>
      </w:r>
    </w:p>
    <w:p w:rsidR="00BB596C" w:rsidRPr="00853B6F" w:rsidRDefault="00BB596C" w:rsidP="00BB596C">
      <w:pPr>
        <w:spacing w:before="45"/>
        <w:ind w:left="20"/>
        <w:jc w:val="both"/>
        <w:rPr>
          <w:b/>
          <w:w w:val="95"/>
          <w:sz w:val="16"/>
          <w:szCs w:val="16"/>
        </w:rPr>
      </w:pPr>
    </w:p>
    <w:tbl>
      <w:tblPr>
        <w:tblStyle w:val="Grigliatabella"/>
        <w:tblW w:w="0" w:type="auto"/>
        <w:tblInd w:w="20" w:type="dxa"/>
        <w:tblLook w:val="04A0" w:firstRow="1" w:lastRow="0" w:firstColumn="1" w:lastColumn="0" w:noHBand="0" w:noVBand="1"/>
      </w:tblPr>
      <w:tblGrid>
        <w:gridCol w:w="6779"/>
        <w:gridCol w:w="2829"/>
      </w:tblGrid>
      <w:tr w:rsidR="00BB596C" w:rsidTr="00BB596C">
        <w:tc>
          <w:tcPr>
            <w:tcW w:w="6779" w:type="dxa"/>
          </w:tcPr>
          <w:p w:rsidR="00BB596C" w:rsidRPr="00BB596C" w:rsidRDefault="00BB596C" w:rsidP="00BB596C">
            <w:pPr>
              <w:spacing w:before="45"/>
              <w:jc w:val="both"/>
              <w:rPr>
                <w:sz w:val="34"/>
              </w:rPr>
            </w:pPr>
            <w:r w:rsidRPr="00BB596C">
              <w:rPr>
                <w:sz w:val="34"/>
              </w:rPr>
              <w:t>Assistenza e previdenza</w:t>
            </w:r>
          </w:p>
        </w:tc>
        <w:tc>
          <w:tcPr>
            <w:tcW w:w="2829" w:type="dxa"/>
          </w:tcPr>
          <w:p w:rsidR="00BB596C" w:rsidRPr="00BB596C" w:rsidRDefault="00BB596C" w:rsidP="00BB596C">
            <w:pPr>
              <w:spacing w:before="45"/>
              <w:jc w:val="both"/>
              <w:rPr>
                <w:sz w:val="34"/>
              </w:rPr>
            </w:pPr>
            <w:r>
              <w:rPr>
                <w:sz w:val="34"/>
              </w:rPr>
              <w:t>€ 43,00</w:t>
            </w:r>
          </w:p>
        </w:tc>
      </w:tr>
      <w:tr w:rsidR="00BB596C" w:rsidTr="00BB596C">
        <w:tc>
          <w:tcPr>
            <w:tcW w:w="6779" w:type="dxa"/>
          </w:tcPr>
          <w:p w:rsidR="00BB596C" w:rsidRPr="00BB596C" w:rsidRDefault="00BB596C" w:rsidP="00BB596C">
            <w:pPr>
              <w:spacing w:before="45"/>
              <w:rPr>
                <w:sz w:val="34"/>
              </w:rPr>
            </w:pPr>
            <w:r w:rsidRPr="00BB596C">
              <w:rPr>
                <w:sz w:val="34"/>
              </w:rPr>
              <w:t>Opposizione ord</w:t>
            </w:r>
            <w:r>
              <w:rPr>
                <w:sz w:val="34"/>
              </w:rPr>
              <w:t xml:space="preserve">inanza ingiunzione </w:t>
            </w:r>
            <w:r w:rsidRPr="00BB596C">
              <w:rPr>
                <w:b/>
                <w:sz w:val="34"/>
              </w:rPr>
              <w:t>previdenza</w:t>
            </w:r>
          </w:p>
        </w:tc>
        <w:tc>
          <w:tcPr>
            <w:tcW w:w="2829" w:type="dxa"/>
          </w:tcPr>
          <w:p w:rsidR="00BB596C" w:rsidRDefault="00BB596C" w:rsidP="00BB596C">
            <w:pPr>
              <w:spacing w:before="45"/>
              <w:jc w:val="both"/>
              <w:rPr>
                <w:b/>
                <w:sz w:val="34"/>
              </w:rPr>
            </w:pPr>
            <w:r>
              <w:rPr>
                <w:sz w:val="34"/>
              </w:rPr>
              <w:t>€</w:t>
            </w:r>
            <w:r>
              <w:rPr>
                <w:sz w:val="34"/>
              </w:rPr>
              <w:t xml:space="preserve"> 43,00</w:t>
            </w:r>
          </w:p>
        </w:tc>
      </w:tr>
      <w:tr w:rsidR="00BB596C" w:rsidTr="00BB596C">
        <w:tc>
          <w:tcPr>
            <w:tcW w:w="6779" w:type="dxa"/>
          </w:tcPr>
          <w:p w:rsidR="00BB596C" w:rsidRPr="00BB596C" w:rsidRDefault="00BB596C" w:rsidP="00BB596C">
            <w:pPr>
              <w:spacing w:before="45"/>
              <w:jc w:val="both"/>
              <w:rPr>
                <w:sz w:val="34"/>
              </w:rPr>
            </w:pPr>
            <w:r>
              <w:rPr>
                <w:sz w:val="34"/>
              </w:rPr>
              <w:t>Accertamento tecnico preventivo (ATP)</w:t>
            </w:r>
          </w:p>
        </w:tc>
        <w:tc>
          <w:tcPr>
            <w:tcW w:w="2829" w:type="dxa"/>
          </w:tcPr>
          <w:p w:rsidR="00BB596C" w:rsidRDefault="00BB596C" w:rsidP="00BB596C">
            <w:pPr>
              <w:spacing w:before="45"/>
              <w:jc w:val="both"/>
              <w:rPr>
                <w:b/>
                <w:sz w:val="34"/>
              </w:rPr>
            </w:pPr>
            <w:r>
              <w:rPr>
                <w:sz w:val="34"/>
              </w:rPr>
              <w:t>€</w:t>
            </w:r>
            <w:r>
              <w:rPr>
                <w:sz w:val="34"/>
              </w:rPr>
              <w:t xml:space="preserve"> 21,50</w:t>
            </w:r>
          </w:p>
        </w:tc>
      </w:tr>
      <w:tr w:rsidR="00BB596C" w:rsidTr="00BB596C">
        <w:tc>
          <w:tcPr>
            <w:tcW w:w="6779" w:type="dxa"/>
          </w:tcPr>
          <w:p w:rsidR="00BB596C" w:rsidRPr="00BB596C" w:rsidRDefault="00BB596C" w:rsidP="00BB596C">
            <w:pPr>
              <w:spacing w:before="45"/>
              <w:jc w:val="both"/>
              <w:rPr>
                <w:sz w:val="34"/>
              </w:rPr>
            </w:pPr>
            <w:r>
              <w:rPr>
                <w:sz w:val="34"/>
              </w:rPr>
              <w:t xml:space="preserve">Decreti ingiuntivi </w:t>
            </w:r>
            <w:r w:rsidRPr="00BB596C">
              <w:rPr>
                <w:b/>
                <w:sz w:val="34"/>
              </w:rPr>
              <w:t>assistenza e previdenza</w:t>
            </w:r>
          </w:p>
        </w:tc>
        <w:tc>
          <w:tcPr>
            <w:tcW w:w="2829" w:type="dxa"/>
          </w:tcPr>
          <w:p w:rsidR="00BB596C" w:rsidRDefault="00BB596C" w:rsidP="00BB596C">
            <w:pPr>
              <w:spacing w:before="45"/>
              <w:jc w:val="both"/>
              <w:rPr>
                <w:b/>
                <w:sz w:val="34"/>
              </w:rPr>
            </w:pPr>
            <w:r>
              <w:rPr>
                <w:sz w:val="34"/>
              </w:rPr>
              <w:t>€</w:t>
            </w:r>
            <w:r>
              <w:rPr>
                <w:sz w:val="34"/>
              </w:rPr>
              <w:t xml:space="preserve"> 21,50</w:t>
            </w:r>
          </w:p>
        </w:tc>
      </w:tr>
      <w:tr w:rsidR="00BB596C" w:rsidTr="00BB596C">
        <w:tc>
          <w:tcPr>
            <w:tcW w:w="6779" w:type="dxa"/>
          </w:tcPr>
          <w:p w:rsidR="00BB596C" w:rsidRPr="00BB596C" w:rsidRDefault="00BB596C" w:rsidP="00BB596C">
            <w:pPr>
              <w:spacing w:before="45"/>
              <w:jc w:val="both"/>
              <w:rPr>
                <w:sz w:val="34"/>
              </w:rPr>
            </w:pPr>
            <w:r>
              <w:rPr>
                <w:sz w:val="34"/>
              </w:rPr>
              <w:t>Reclamo al collegio</w:t>
            </w:r>
          </w:p>
        </w:tc>
        <w:tc>
          <w:tcPr>
            <w:tcW w:w="2829" w:type="dxa"/>
          </w:tcPr>
          <w:p w:rsidR="00BB596C" w:rsidRDefault="00BB596C" w:rsidP="00BB596C">
            <w:pPr>
              <w:spacing w:before="45"/>
              <w:jc w:val="both"/>
              <w:rPr>
                <w:b/>
                <w:sz w:val="34"/>
              </w:rPr>
            </w:pPr>
            <w:r>
              <w:rPr>
                <w:sz w:val="34"/>
              </w:rPr>
              <w:t>€</w:t>
            </w:r>
            <w:r>
              <w:rPr>
                <w:sz w:val="34"/>
              </w:rPr>
              <w:t xml:space="preserve"> 73,50</w:t>
            </w:r>
          </w:p>
        </w:tc>
      </w:tr>
      <w:tr w:rsidR="00BB596C" w:rsidTr="00BB596C">
        <w:tc>
          <w:tcPr>
            <w:tcW w:w="6779" w:type="dxa"/>
          </w:tcPr>
          <w:p w:rsidR="00BB596C" w:rsidRDefault="00BB596C" w:rsidP="00BB596C">
            <w:pPr>
              <w:spacing w:before="45"/>
              <w:jc w:val="both"/>
              <w:rPr>
                <w:sz w:val="34"/>
              </w:rPr>
            </w:pPr>
            <w:r>
              <w:rPr>
                <w:sz w:val="34"/>
              </w:rPr>
              <w:t>Procedimenti cautelari (ART. 700 CPC)</w:t>
            </w:r>
          </w:p>
        </w:tc>
        <w:tc>
          <w:tcPr>
            <w:tcW w:w="2829" w:type="dxa"/>
          </w:tcPr>
          <w:p w:rsidR="00BB596C" w:rsidRDefault="00BB596C" w:rsidP="00BB596C">
            <w:pPr>
              <w:spacing w:before="45"/>
              <w:jc w:val="both"/>
              <w:rPr>
                <w:sz w:val="34"/>
              </w:rPr>
            </w:pPr>
            <w:r>
              <w:rPr>
                <w:sz w:val="34"/>
              </w:rPr>
              <w:t>€</w:t>
            </w:r>
            <w:r>
              <w:rPr>
                <w:sz w:val="34"/>
              </w:rPr>
              <w:t xml:space="preserve"> 259,00</w:t>
            </w:r>
          </w:p>
        </w:tc>
      </w:tr>
    </w:tbl>
    <w:p w:rsidR="00BB596C" w:rsidRDefault="00BB596C" w:rsidP="00BB596C">
      <w:pPr>
        <w:spacing w:before="45"/>
        <w:ind w:left="20"/>
        <w:jc w:val="both"/>
        <w:rPr>
          <w:b/>
          <w:sz w:val="34"/>
        </w:rPr>
      </w:pPr>
    </w:p>
    <w:p w:rsidR="00BB596C" w:rsidRDefault="00BB596C" w:rsidP="00BB596C">
      <w:pPr>
        <w:spacing w:before="45"/>
        <w:ind w:left="20"/>
        <w:jc w:val="both"/>
        <w:rPr>
          <w:b/>
          <w:sz w:val="34"/>
        </w:rPr>
      </w:pPr>
      <w:r>
        <w:rPr>
          <w:b/>
          <w:sz w:val="34"/>
        </w:rPr>
        <w:t>In materia di lavoro e pubblico impiego il contributo è dovuto in base al valore della causa (anche per i Decreti ingiuntivi o le opposizioni a cartella non avente ad oggetto crediti previdenziali)</w:t>
      </w:r>
    </w:p>
    <w:p w:rsidR="00BB596C" w:rsidRDefault="00BB596C" w:rsidP="00BB596C">
      <w:pPr>
        <w:spacing w:before="45"/>
        <w:ind w:left="20"/>
        <w:jc w:val="both"/>
        <w:rPr>
          <w:b/>
          <w:sz w:val="34"/>
        </w:rPr>
      </w:pPr>
    </w:p>
    <w:tbl>
      <w:tblPr>
        <w:tblStyle w:val="Grigliatabella"/>
        <w:tblW w:w="0" w:type="auto"/>
        <w:tblInd w:w="20" w:type="dxa"/>
        <w:tblLook w:val="04A0" w:firstRow="1" w:lastRow="0" w:firstColumn="1" w:lastColumn="0" w:noHBand="0" w:noVBand="1"/>
      </w:tblPr>
      <w:tblGrid>
        <w:gridCol w:w="6638"/>
        <w:gridCol w:w="2970"/>
      </w:tblGrid>
      <w:tr w:rsidR="00BB596C" w:rsidTr="00B6462E">
        <w:tc>
          <w:tcPr>
            <w:tcW w:w="6638" w:type="dxa"/>
          </w:tcPr>
          <w:p w:rsidR="00BB596C" w:rsidRPr="00BB596C" w:rsidRDefault="00BB596C" w:rsidP="00BB596C">
            <w:pPr>
              <w:spacing w:before="45"/>
              <w:jc w:val="both"/>
              <w:rPr>
                <w:sz w:val="34"/>
              </w:rPr>
            </w:pPr>
            <w:r w:rsidRPr="00BB596C">
              <w:rPr>
                <w:sz w:val="34"/>
              </w:rPr>
              <w:t xml:space="preserve">Valore fino a </w:t>
            </w:r>
            <w:r w:rsidRPr="00BB596C">
              <w:rPr>
                <w:sz w:val="34"/>
              </w:rPr>
              <w:t>€</w:t>
            </w:r>
            <w:r>
              <w:rPr>
                <w:sz w:val="34"/>
              </w:rPr>
              <w:t xml:space="preserve"> 1.100</w:t>
            </w:r>
          </w:p>
        </w:tc>
        <w:tc>
          <w:tcPr>
            <w:tcW w:w="2970" w:type="dxa"/>
          </w:tcPr>
          <w:p w:rsidR="00BB596C" w:rsidRDefault="00BB596C" w:rsidP="00BB596C">
            <w:pPr>
              <w:spacing w:before="45"/>
              <w:jc w:val="both"/>
              <w:rPr>
                <w:b/>
                <w:sz w:val="34"/>
              </w:rPr>
            </w:pPr>
            <w:r w:rsidRPr="00BB596C">
              <w:rPr>
                <w:sz w:val="34"/>
              </w:rPr>
              <w:t>€</w:t>
            </w:r>
            <w:r>
              <w:rPr>
                <w:sz w:val="34"/>
              </w:rPr>
              <w:t xml:space="preserve"> 21,00</w:t>
            </w:r>
          </w:p>
        </w:tc>
      </w:tr>
      <w:tr w:rsidR="00BB596C" w:rsidTr="00B6462E">
        <w:tc>
          <w:tcPr>
            <w:tcW w:w="6638" w:type="dxa"/>
          </w:tcPr>
          <w:p w:rsidR="00BB596C" w:rsidRDefault="00BB596C" w:rsidP="00B6462E">
            <w:pPr>
              <w:spacing w:before="45"/>
              <w:jc w:val="both"/>
              <w:rPr>
                <w:b/>
                <w:sz w:val="34"/>
              </w:rPr>
            </w:pPr>
            <w:r w:rsidRPr="00BB596C">
              <w:rPr>
                <w:sz w:val="34"/>
              </w:rPr>
              <w:t xml:space="preserve">Valore </w:t>
            </w:r>
            <w:r w:rsidR="00B6462E">
              <w:rPr>
                <w:sz w:val="34"/>
              </w:rPr>
              <w:t>superiore</w:t>
            </w:r>
            <w:r w:rsidRPr="00BB596C">
              <w:rPr>
                <w:sz w:val="34"/>
              </w:rPr>
              <w:t xml:space="preserve"> a €</w:t>
            </w:r>
            <w:r w:rsidR="00B6462E">
              <w:rPr>
                <w:sz w:val="34"/>
              </w:rPr>
              <w:t xml:space="preserve"> 1.100 e fino a </w:t>
            </w:r>
            <w:r w:rsidR="00B6462E" w:rsidRPr="00BB596C">
              <w:rPr>
                <w:sz w:val="34"/>
              </w:rPr>
              <w:t>€</w:t>
            </w:r>
            <w:r w:rsidR="00B6462E">
              <w:rPr>
                <w:sz w:val="34"/>
              </w:rPr>
              <w:t xml:space="preserve"> 5.200</w:t>
            </w:r>
          </w:p>
        </w:tc>
        <w:tc>
          <w:tcPr>
            <w:tcW w:w="2970" w:type="dxa"/>
          </w:tcPr>
          <w:p w:rsidR="00BB596C" w:rsidRDefault="00BB596C" w:rsidP="00BB596C">
            <w:pPr>
              <w:spacing w:before="45"/>
              <w:jc w:val="both"/>
              <w:rPr>
                <w:b/>
                <w:sz w:val="34"/>
              </w:rPr>
            </w:pPr>
            <w:r w:rsidRPr="00BB596C">
              <w:rPr>
                <w:sz w:val="34"/>
              </w:rPr>
              <w:t>€</w:t>
            </w:r>
            <w:r w:rsidR="00B6462E">
              <w:rPr>
                <w:sz w:val="34"/>
              </w:rPr>
              <w:t xml:space="preserve"> 49,00</w:t>
            </w:r>
          </w:p>
        </w:tc>
      </w:tr>
      <w:tr w:rsidR="00BB596C" w:rsidTr="00B6462E">
        <w:tc>
          <w:tcPr>
            <w:tcW w:w="6638" w:type="dxa"/>
          </w:tcPr>
          <w:p w:rsidR="00BB596C" w:rsidRDefault="00BB596C" w:rsidP="00BB596C">
            <w:pPr>
              <w:spacing w:before="45"/>
              <w:jc w:val="both"/>
              <w:rPr>
                <w:b/>
                <w:sz w:val="34"/>
              </w:rPr>
            </w:pPr>
            <w:r w:rsidRPr="00BB596C">
              <w:rPr>
                <w:sz w:val="34"/>
              </w:rPr>
              <w:t xml:space="preserve">Valore </w:t>
            </w:r>
            <w:r w:rsidR="00B6462E">
              <w:rPr>
                <w:sz w:val="34"/>
              </w:rPr>
              <w:t>superiore</w:t>
            </w:r>
            <w:r w:rsidRPr="00BB596C">
              <w:rPr>
                <w:sz w:val="34"/>
              </w:rPr>
              <w:t xml:space="preserve"> a €</w:t>
            </w:r>
            <w:r w:rsidR="00B6462E">
              <w:rPr>
                <w:sz w:val="34"/>
              </w:rPr>
              <w:t xml:space="preserve"> 5.200 </w:t>
            </w:r>
            <w:r w:rsidR="00B6462E">
              <w:rPr>
                <w:sz w:val="34"/>
              </w:rPr>
              <w:t xml:space="preserve">e fino a </w:t>
            </w:r>
            <w:r w:rsidR="00B6462E" w:rsidRPr="00BB596C">
              <w:rPr>
                <w:sz w:val="34"/>
              </w:rPr>
              <w:t>€</w:t>
            </w:r>
            <w:r w:rsidR="00B6462E">
              <w:rPr>
                <w:sz w:val="34"/>
              </w:rPr>
              <w:t xml:space="preserve"> 26.000</w:t>
            </w:r>
          </w:p>
        </w:tc>
        <w:tc>
          <w:tcPr>
            <w:tcW w:w="2970" w:type="dxa"/>
          </w:tcPr>
          <w:p w:rsidR="00BB596C" w:rsidRDefault="00BB596C" w:rsidP="00BB596C">
            <w:pPr>
              <w:spacing w:before="45"/>
              <w:jc w:val="both"/>
              <w:rPr>
                <w:b/>
                <w:sz w:val="34"/>
              </w:rPr>
            </w:pPr>
            <w:r w:rsidRPr="00BB596C">
              <w:rPr>
                <w:sz w:val="34"/>
              </w:rPr>
              <w:t>€</w:t>
            </w:r>
            <w:r w:rsidR="00B6462E">
              <w:rPr>
                <w:sz w:val="34"/>
              </w:rPr>
              <w:t xml:space="preserve"> 118,50</w:t>
            </w:r>
          </w:p>
        </w:tc>
      </w:tr>
      <w:tr w:rsidR="00BB596C" w:rsidTr="00B6462E">
        <w:tc>
          <w:tcPr>
            <w:tcW w:w="6638" w:type="dxa"/>
          </w:tcPr>
          <w:p w:rsidR="00BB596C" w:rsidRDefault="00BB596C" w:rsidP="00BB596C">
            <w:pPr>
              <w:spacing w:before="45"/>
              <w:jc w:val="both"/>
              <w:rPr>
                <w:b/>
                <w:sz w:val="34"/>
              </w:rPr>
            </w:pPr>
            <w:r w:rsidRPr="00BB596C">
              <w:rPr>
                <w:sz w:val="34"/>
              </w:rPr>
              <w:t xml:space="preserve">Valore </w:t>
            </w:r>
            <w:r w:rsidR="00B6462E">
              <w:rPr>
                <w:sz w:val="34"/>
              </w:rPr>
              <w:t>superiore</w:t>
            </w:r>
            <w:r w:rsidRPr="00BB596C">
              <w:rPr>
                <w:sz w:val="34"/>
              </w:rPr>
              <w:t xml:space="preserve"> a €</w:t>
            </w:r>
            <w:r w:rsidR="00B6462E">
              <w:rPr>
                <w:sz w:val="34"/>
              </w:rPr>
              <w:t xml:space="preserve"> 26.000 </w:t>
            </w:r>
            <w:r w:rsidR="00B6462E">
              <w:rPr>
                <w:sz w:val="34"/>
              </w:rPr>
              <w:t xml:space="preserve">e fino a </w:t>
            </w:r>
            <w:r w:rsidR="00B6462E" w:rsidRPr="00BB596C">
              <w:rPr>
                <w:sz w:val="34"/>
              </w:rPr>
              <w:t>€</w:t>
            </w:r>
            <w:r w:rsidR="00B6462E">
              <w:rPr>
                <w:sz w:val="34"/>
              </w:rPr>
              <w:t xml:space="preserve"> 52.000   </w:t>
            </w:r>
            <w:r w:rsidR="00B6462E" w:rsidRPr="00B6462E">
              <w:rPr>
                <w:b/>
                <w:sz w:val="34"/>
              </w:rPr>
              <w:t>VALORE INDETERMINATO</w:t>
            </w:r>
          </w:p>
        </w:tc>
        <w:tc>
          <w:tcPr>
            <w:tcW w:w="2970" w:type="dxa"/>
          </w:tcPr>
          <w:p w:rsidR="00BB596C" w:rsidRDefault="00BB596C" w:rsidP="00BB596C">
            <w:pPr>
              <w:spacing w:before="45"/>
              <w:jc w:val="both"/>
              <w:rPr>
                <w:b/>
                <w:sz w:val="34"/>
              </w:rPr>
            </w:pPr>
            <w:r w:rsidRPr="00BB596C">
              <w:rPr>
                <w:sz w:val="34"/>
              </w:rPr>
              <w:t>€</w:t>
            </w:r>
            <w:r w:rsidR="00B6462E">
              <w:rPr>
                <w:sz w:val="34"/>
              </w:rPr>
              <w:t xml:space="preserve"> 259,00</w:t>
            </w:r>
          </w:p>
        </w:tc>
      </w:tr>
      <w:tr w:rsidR="00BB596C" w:rsidTr="00B6462E">
        <w:tc>
          <w:tcPr>
            <w:tcW w:w="6638" w:type="dxa"/>
          </w:tcPr>
          <w:p w:rsidR="00BB596C" w:rsidRDefault="00BB596C" w:rsidP="00BB596C">
            <w:pPr>
              <w:spacing w:before="45"/>
              <w:jc w:val="both"/>
              <w:rPr>
                <w:b/>
                <w:sz w:val="34"/>
              </w:rPr>
            </w:pPr>
            <w:r w:rsidRPr="00BB596C">
              <w:rPr>
                <w:sz w:val="34"/>
              </w:rPr>
              <w:t xml:space="preserve">Valore </w:t>
            </w:r>
            <w:r w:rsidR="00B6462E">
              <w:rPr>
                <w:sz w:val="34"/>
              </w:rPr>
              <w:t>superiore</w:t>
            </w:r>
            <w:r w:rsidR="00B6462E" w:rsidRPr="00BB596C">
              <w:rPr>
                <w:sz w:val="34"/>
              </w:rPr>
              <w:t xml:space="preserve"> </w:t>
            </w:r>
            <w:r w:rsidRPr="00BB596C">
              <w:rPr>
                <w:sz w:val="34"/>
              </w:rPr>
              <w:t>a €</w:t>
            </w:r>
            <w:r w:rsidR="00B6462E">
              <w:rPr>
                <w:sz w:val="34"/>
              </w:rPr>
              <w:t xml:space="preserve"> 52.000 </w:t>
            </w:r>
            <w:r w:rsidR="00B6462E">
              <w:rPr>
                <w:sz w:val="34"/>
              </w:rPr>
              <w:t xml:space="preserve">e fino a </w:t>
            </w:r>
            <w:r w:rsidR="00B6462E" w:rsidRPr="00BB596C">
              <w:rPr>
                <w:sz w:val="34"/>
              </w:rPr>
              <w:t>€</w:t>
            </w:r>
            <w:r w:rsidR="00B6462E">
              <w:rPr>
                <w:sz w:val="34"/>
              </w:rPr>
              <w:t xml:space="preserve"> 260.000</w:t>
            </w:r>
          </w:p>
        </w:tc>
        <w:tc>
          <w:tcPr>
            <w:tcW w:w="2970" w:type="dxa"/>
          </w:tcPr>
          <w:p w:rsidR="00BB596C" w:rsidRDefault="00BB596C" w:rsidP="00BB596C">
            <w:pPr>
              <w:spacing w:before="45"/>
              <w:jc w:val="both"/>
              <w:rPr>
                <w:b/>
                <w:sz w:val="34"/>
              </w:rPr>
            </w:pPr>
            <w:r w:rsidRPr="00BB596C">
              <w:rPr>
                <w:sz w:val="34"/>
              </w:rPr>
              <w:t>€</w:t>
            </w:r>
            <w:r w:rsidR="00071580">
              <w:rPr>
                <w:sz w:val="34"/>
              </w:rPr>
              <w:t xml:space="preserve"> 379,50</w:t>
            </w:r>
          </w:p>
        </w:tc>
      </w:tr>
      <w:tr w:rsidR="00BB596C" w:rsidTr="00B6462E">
        <w:tc>
          <w:tcPr>
            <w:tcW w:w="6638" w:type="dxa"/>
          </w:tcPr>
          <w:p w:rsidR="00BB596C" w:rsidRDefault="00BB596C" w:rsidP="00BB596C">
            <w:pPr>
              <w:spacing w:before="45"/>
              <w:jc w:val="both"/>
              <w:rPr>
                <w:b/>
                <w:sz w:val="34"/>
              </w:rPr>
            </w:pPr>
            <w:r w:rsidRPr="00BB596C">
              <w:rPr>
                <w:sz w:val="34"/>
              </w:rPr>
              <w:t xml:space="preserve">Valore </w:t>
            </w:r>
            <w:r w:rsidR="00B6462E">
              <w:rPr>
                <w:sz w:val="34"/>
              </w:rPr>
              <w:t>superiore</w:t>
            </w:r>
            <w:r w:rsidRPr="00BB596C">
              <w:rPr>
                <w:sz w:val="34"/>
              </w:rPr>
              <w:t xml:space="preserve"> a €</w:t>
            </w:r>
            <w:r w:rsidR="00B6462E">
              <w:rPr>
                <w:sz w:val="34"/>
              </w:rPr>
              <w:t xml:space="preserve"> 260.000 </w:t>
            </w:r>
            <w:r w:rsidR="00B6462E">
              <w:rPr>
                <w:sz w:val="34"/>
              </w:rPr>
              <w:t xml:space="preserve">e fino a </w:t>
            </w:r>
            <w:r w:rsidR="00B6462E" w:rsidRPr="00BB596C">
              <w:rPr>
                <w:sz w:val="34"/>
              </w:rPr>
              <w:t>€</w:t>
            </w:r>
            <w:r w:rsidR="00B6462E">
              <w:rPr>
                <w:sz w:val="34"/>
              </w:rPr>
              <w:t xml:space="preserve"> 520.000</w:t>
            </w:r>
          </w:p>
        </w:tc>
        <w:tc>
          <w:tcPr>
            <w:tcW w:w="2970" w:type="dxa"/>
          </w:tcPr>
          <w:p w:rsidR="00BB596C" w:rsidRDefault="00BB596C" w:rsidP="00BB596C">
            <w:pPr>
              <w:spacing w:before="45"/>
              <w:jc w:val="both"/>
              <w:rPr>
                <w:b/>
                <w:sz w:val="34"/>
              </w:rPr>
            </w:pPr>
            <w:r w:rsidRPr="00BB596C">
              <w:rPr>
                <w:sz w:val="34"/>
              </w:rPr>
              <w:t>€</w:t>
            </w:r>
            <w:r w:rsidR="00071580">
              <w:rPr>
                <w:sz w:val="34"/>
              </w:rPr>
              <w:t xml:space="preserve"> 607,00</w:t>
            </w:r>
          </w:p>
        </w:tc>
      </w:tr>
      <w:tr w:rsidR="00BB596C" w:rsidTr="00B6462E">
        <w:tc>
          <w:tcPr>
            <w:tcW w:w="6638" w:type="dxa"/>
          </w:tcPr>
          <w:p w:rsidR="00BB596C" w:rsidRDefault="00BB596C" w:rsidP="00BB596C">
            <w:pPr>
              <w:spacing w:before="45"/>
              <w:jc w:val="both"/>
              <w:rPr>
                <w:b/>
                <w:sz w:val="34"/>
              </w:rPr>
            </w:pPr>
            <w:r w:rsidRPr="00BB596C">
              <w:rPr>
                <w:sz w:val="34"/>
              </w:rPr>
              <w:t xml:space="preserve">Valore </w:t>
            </w:r>
            <w:r w:rsidR="00B6462E">
              <w:rPr>
                <w:sz w:val="34"/>
              </w:rPr>
              <w:t>superiore</w:t>
            </w:r>
            <w:r w:rsidRPr="00BB596C">
              <w:rPr>
                <w:sz w:val="34"/>
              </w:rPr>
              <w:t xml:space="preserve"> a €</w:t>
            </w:r>
            <w:r w:rsidR="00B6462E">
              <w:rPr>
                <w:sz w:val="34"/>
              </w:rPr>
              <w:t xml:space="preserve"> 520.000</w:t>
            </w:r>
          </w:p>
        </w:tc>
        <w:tc>
          <w:tcPr>
            <w:tcW w:w="2970" w:type="dxa"/>
          </w:tcPr>
          <w:p w:rsidR="00BB596C" w:rsidRDefault="00BB596C" w:rsidP="00BB596C">
            <w:pPr>
              <w:spacing w:before="45"/>
              <w:jc w:val="both"/>
              <w:rPr>
                <w:b/>
                <w:sz w:val="34"/>
              </w:rPr>
            </w:pPr>
            <w:r w:rsidRPr="00BB596C">
              <w:rPr>
                <w:sz w:val="34"/>
              </w:rPr>
              <w:t>€</w:t>
            </w:r>
            <w:r w:rsidR="00071580">
              <w:rPr>
                <w:sz w:val="34"/>
              </w:rPr>
              <w:t xml:space="preserve"> 843, 00</w:t>
            </w:r>
          </w:p>
        </w:tc>
      </w:tr>
    </w:tbl>
    <w:p w:rsidR="00BB596C" w:rsidRPr="000E454B" w:rsidRDefault="00BB596C" w:rsidP="00BB596C">
      <w:pPr>
        <w:spacing w:before="45"/>
        <w:ind w:left="20"/>
        <w:jc w:val="both"/>
        <w:rPr>
          <w:b/>
          <w:sz w:val="16"/>
          <w:szCs w:val="16"/>
        </w:rPr>
      </w:pPr>
    </w:p>
    <w:p w:rsidR="00006E88" w:rsidRPr="00853B6F" w:rsidRDefault="00006E88" w:rsidP="00BB596C">
      <w:pPr>
        <w:spacing w:before="45"/>
        <w:jc w:val="both"/>
        <w:rPr>
          <w:sz w:val="32"/>
          <w:szCs w:val="32"/>
        </w:rPr>
      </w:pPr>
      <w:r w:rsidRPr="00853B6F">
        <w:rPr>
          <w:sz w:val="32"/>
          <w:szCs w:val="32"/>
        </w:rPr>
        <w:t xml:space="preserve">Il ricorrente ha diritto all’esenzione dal pagamento del CU se ammesso al gratuito patrocinio o se il suo reddito compreso quello del suo nucleo familiare, </w:t>
      </w:r>
      <w:r w:rsidRPr="00853B6F">
        <w:rPr>
          <w:b/>
          <w:sz w:val="32"/>
          <w:szCs w:val="32"/>
        </w:rPr>
        <w:t>risultante dall’ultima dichiarazione dei redditi come previsto dall’art. 9 e 76 del D.P.R. 115/2002</w:t>
      </w:r>
      <w:r w:rsidRPr="00853B6F">
        <w:rPr>
          <w:sz w:val="32"/>
          <w:szCs w:val="32"/>
        </w:rPr>
        <w:t xml:space="preserve">, non è superiore ad € 35.240,24. </w:t>
      </w:r>
    </w:p>
    <w:p w:rsidR="00006E88" w:rsidRPr="00853B6F" w:rsidRDefault="00006E88" w:rsidP="00BB596C">
      <w:pPr>
        <w:spacing w:before="45"/>
        <w:jc w:val="both"/>
        <w:rPr>
          <w:sz w:val="32"/>
          <w:szCs w:val="32"/>
        </w:rPr>
      </w:pPr>
      <w:r w:rsidRPr="00853B6F">
        <w:rPr>
          <w:sz w:val="32"/>
          <w:szCs w:val="32"/>
        </w:rPr>
        <w:t>Il ricorrente dovrà</w:t>
      </w:r>
      <w:r w:rsidR="00C04E98" w:rsidRPr="00853B6F">
        <w:rPr>
          <w:sz w:val="32"/>
          <w:szCs w:val="32"/>
        </w:rPr>
        <w:t>, p</w:t>
      </w:r>
      <w:r w:rsidRPr="00853B6F">
        <w:rPr>
          <w:sz w:val="32"/>
          <w:szCs w:val="32"/>
        </w:rPr>
        <w:t>ertanto, depositare apposita autocertificazione (vedi modello presente sul sito) debitamente sottoscritta e corredata da documento di identità in corso di validità.</w:t>
      </w:r>
    </w:p>
    <w:p w:rsidR="00670140" w:rsidRPr="00853B6F" w:rsidRDefault="00006E88" w:rsidP="00006E88">
      <w:pPr>
        <w:spacing w:before="45"/>
        <w:jc w:val="both"/>
        <w:rPr>
          <w:sz w:val="32"/>
          <w:szCs w:val="32"/>
        </w:rPr>
      </w:pPr>
      <w:r w:rsidRPr="00853B6F">
        <w:rPr>
          <w:sz w:val="32"/>
          <w:szCs w:val="32"/>
        </w:rPr>
        <w:t>Le autocertificazioni prodotte sono soggette ai controlli di cui all’art. 71 del D.P.R. 445/2000.</w:t>
      </w:r>
    </w:p>
    <w:sectPr w:rsidR="00670140" w:rsidRPr="00853B6F" w:rsidSect="000E454B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6C"/>
    <w:rsid w:val="00006E88"/>
    <w:rsid w:val="00071580"/>
    <w:rsid w:val="000E454B"/>
    <w:rsid w:val="00670140"/>
    <w:rsid w:val="00853B6F"/>
    <w:rsid w:val="00A75A63"/>
    <w:rsid w:val="00B6462E"/>
    <w:rsid w:val="00BB596C"/>
    <w:rsid w:val="00C0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6512A-EDBA-4F42-99AC-470EC052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B59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B5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6E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6E8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F0B41-17A9-4101-8DBD-B0C926EC3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Rizzo</dc:creator>
  <cp:keywords/>
  <dc:description/>
  <cp:lastModifiedBy>Vanessa Rizzo</cp:lastModifiedBy>
  <cp:revision>6</cp:revision>
  <cp:lastPrinted>2023-02-08T08:25:00Z</cp:lastPrinted>
  <dcterms:created xsi:type="dcterms:W3CDTF">2023-02-08T07:57:00Z</dcterms:created>
  <dcterms:modified xsi:type="dcterms:W3CDTF">2023-02-08T09:19:00Z</dcterms:modified>
</cp:coreProperties>
</file>